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2331" w14:textId="6F3C660F" w:rsidR="00A50550" w:rsidRDefault="00071839" w:rsidP="00071839">
      <w:pPr>
        <w:jc w:val="center"/>
        <w:rPr>
          <w:b/>
          <w:bCs/>
        </w:rPr>
      </w:pPr>
      <w:r w:rsidRPr="00A50550">
        <w:rPr>
          <w:b/>
          <w:bCs/>
        </w:rPr>
        <w:t>ALLA COMMISSIONE TRIBUTARIA REGIONALE</w:t>
      </w:r>
      <w:r w:rsidR="00747B48">
        <w:rPr>
          <w:b/>
          <w:bCs/>
        </w:rPr>
        <w:t>/PROVINCIALE</w:t>
      </w:r>
      <w:r w:rsidRPr="00A50550">
        <w:rPr>
          <w:b/>
          <w:bCs/>
        </w:rPr>
        <w:t xml:space="preserve"> DI</w:t>
      </w:r>
    </w:p>
    <w:p w14:paraId="3BA6F5EF" w14:textId="06C6C938" w:rsidR="00CE4F72" w:rsidRPr="00A50550" w:rsidRDefault="00071839" w:rsidP="00071839">
      <w:pPr>
        <w:jc w:val="center"/>
        <w:rPr>
          <w:b/>
          <w:bCs/>
        </w:rPr>
      </w:pPr>
      <w:r w:rsidRPr="00A50550">
        <w:rPr>
          <w:b/>
          <w:bCs/>
        </w:rPr>
        <w:t xml:space="preserve"> ………………………………………….</w:t>
      </w:r>
    </w:p>
    <w:p w14:paraId="73A845C0" w14:textId="16838D69" w:rsidR="00A50550" w:rsidRPr="00A50550" w:rsidRDefault="0088178F" w:rsidP="00071839">
      <w:pPr>
        <w:jc w:val="center"/>
        <w:rPr>
          <w:sz w:val="24"/>
          <w:szCs w:val="24"/>
        </w:rPr>
      </w:pPr>
      <w:r>
        <w:rPr>
          <w:sz w:val="24"/>
          <w:szCs w:val="24"/>
        </w:rPr>
        <w:t>All’</w:t>
      </w:r>
      <w:r w:rsidR="00A50550" w:rsidRPr="00A50550">
        <w:rPr>
          <w:sz w:val="24"/>
          <w:szCs w:val="24"/>
        </w:rPr>
        <w:t xml:space="preserve">Ufficio di segreteria </w:t>
      </w:r>
    </w:p>
    <w:p w14:paraId="1D6F94AF" w14:textId="3E6D58B6" w:rsidR="00A50550" w:rsidRPr="00A50550" w:rsidRDefault="00E25016" w:rsidP="00E25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A50550" w:rsidRPr="00A50550">
        <w:rPr>
          <w:sz w:val="24"/>
          <w:szCs w:val="24"/>
        </w:rPr>
        <w:t xml:space="preserve">Al </w:t>
      </w:r>
      <w:r w:rsidR="00A50550">
        <w:rPr>
          <w:sz w:val="24"/>
          <w:szCs w:val="24"/>
        </w:rPr>
        <w:t>P</w:t>
      </w:r>
      <w:r w:rsidR="00A50550" w:rsidRPr="00A50550">
        <w:rPr>
          <w:sz w:val="24"/>
          <w:szCs w:val="24"/>
        </w:rPr>
        <w:t xml:space="preserve">residente della Commissione tributaria </w:t>
      </w:r>
      <w:r w:rsidR="00A50550">
        <w:rPr>
          <w:sz w:val="24"/>
          <w:szCs w:val="24"/>
        </w:rPr>
        <w:t>di ………………</w:t>
      </w:r>
      <w:r>
        <w:rPr>
          <w:sz w:val="24"/>
          <w:szCs w:val="24"/>
        </w:rPr>
        <w:t xml:space="preserve">  </w:t>
      </w:r>
    </w:p>
    <w:p w14:paraId="4925B23E" w14:textId="3DFADA8E" w:rsidR="00071839" w:rsidRDefault="00071839" w:rsidP="00071839">
      <w:pPr>
        <w:jc w:val="both"/>
      </w:pPr>
      <w:r>
        <w:t>Il/la sottoscritto/a ………………………………………………………  CF…………………………………………………………………………….</w:t>
      </w:r>
    </w:p>
    <w:p w14:paraId="5B9F47BC" w14:textId="51C1DCBF" w:rsidR="00071839" w:rsidRDefault="00071839" w:rsidP="00071839">
      <w:pPr>
        <w:jc w:val="both"/>
      </w:pPr>
      <w:r>
        <w:t>Nato/a il …………/………………/…………/     a ………………………………………………………………</w:t>
      </w:r>
    </w:p>
    <w:p w14:paraId="39243B1D" w14:textId="7C9EFCC4" w:rsidR="0088178F" w:rsidRDefault="00071839" w:rsidP="00071839">
      <w:pPr>
        <w:jc w:val="both"/>
      </w:pPr>
      <w:r>
        <w:t xml:space="preserve">Residente </w:t>
      </w:r>
      <w:r w:rsidR="00587E10">
        <w:t>a …</w:t>
      </w:r>
      <w:r>
        <w:t>………………………………………………………. In via ……………………………………………………………….n…………</w:t>
      </w:r>
      <w:r w:rsidR="0088178F">
        <w:t xml:space="preserve"> </w:t>
      </w:r>
    </w:p>
    <w:p w14:paraId="1C9360F6" w14:textId="43942E60" w:rsidR="00071839" w:rsidRDefault="0088178F" w:rsidP="00071839">
      <w:pPr>
        <w:jc w:val="both"/>
      </w:pPr>
      <w:r>
        <w:t>tel………………………………………………….………….cell……………………………………………………………..……………..</w:t>
      </w:r>
    </w:p>
    <w:p w14:paraId="166611F4" w14:textId="1C1D99D2" w:rsidR="00071839" w:rsidRDefault="00071839" w:rsidP="00071839">
      <w:pPr>
        <w:jc w:val="both"/>
      </w:pPr>
      <w:r>
        <w:t xml:space="preserve">Giudice tributario presso Codesta Commissione </w:t>
      </w:r>
      <w:r w:rsidR="00587E10">
        <w:t>tributaria di</w:t>
      </w:r>
      <w:r>
        <w:t xml:space="preserve"> ………………………………………………………….sez n </w:t>
      </w:r>
      <w:r w:rsidR="00CD49EE">
        <w:t>………</w:t>
      </w:r>
      <w:r>
        <w:t>,</w:t>
      </w:r>
    </w:p>
    <w:p w14:paraId="3E41E20A" w14:textId="501F7377" w:rsidR="00071839" w:rsidRDefault="00071839" w:rsidP="00071839">
      <w:pPr>
        <w:jc w:val="both"/>
      </w:pPr>
      <w:r>
        <w:t xml:space="preserve"> con funzioni di …………………………………………………………………………… </w:t>
      </w:r>
    </w:p>
    <w:p w14:paraId="619D855A" w14:textId="7311C7D3" w:rsidR="00071839" w:rsidRDefault="00071839" w:rsidP="00071839">
      <w:pPr>
        <w:jc w:val="both"/>
      </w:pPr>
    </w:p>
    <w:p w14:paraId="2A278CE0" w14:textId="0726AA78" w:rsidR="00071839" w:rsidRPr="00071839" w:rsidRDefault="005F6B57" w:rsidP="005F6B57">
      <w:pPr>
        <w:jc w:val="center"/>
        <w:rPr>
          <w:b/>
          <w:bCs/>
        </w:rPr>
      </w:pPr>
      <w:r w:rsidRPr="00071839">
        <w:rPr>
          <w:b/>
          <w:bCs/>
        </w:rPr>
        <w:t>VISTA</w:t>
      </w:r>
    </w:p>
    <w:p w14:paraId="0C2BECB5" w14:textId="0250D04D" w:rsidR="00071839" w:rsidRDefault="00071839" w:rsidP="00071839">
      <w:pPr>
        <w:jc w:val="both"/>
      </w:pPr>
      <w:r>
        <w:t xml:space="preserve">l’approvazione della riforma tributaria con legge n. </w:t>
      </w:r>
      <w:r w:rsidR="0088178F">
        <w:t>130</w:t>
      </w:r>
      <w:r>
        <w:t xml:space="preserve"> del</w:t>
      </w:r>
      <w:r w:rsidR="0088178F">
        <w:t xml:space="preserve"> 31/08/2022</w:t>
      </w:r>
      <w:r>
        <w:t xml:space="preserve">   pubblicata su GU del </w:t>
      </w:r>
      <w:r w:rsidR="00587E10">
        <w:t>1° settembre</w:t>
      </w:r>
      <w:r w:rsidR="0088178F">
        <w:t xml:space="preserve"> 2022 n. 204</w:t>
      </w:r>
    </w:p>
    <w:p w14:paraId="725D80B5" w14:textId="6BCD601D" w:rsidR="003D1B11" w:rsidRDefault="005F6B57" w:rsidP="005F6B57">
      <w:pPr>
        <w:jc w:val="center"/>
      </w:pPr>
      <w:r w:rsidRPr="005F6B57">
        <w:rPr>
          <w:b/>
          <w:bCs/>
        </w:rPr>
        <w:t>CONSIDERATO</w:t>
      </w:r>
    </w:p>
    <w:p w14:paraId="01AFFFEF" w14:textId="77777777" w:rsidR="003D1B11" w:rsidRDefault="003D1B11" w:rsidP="003D1B11">
      <w:pPr>
        <w:pStyle w:val="Default"/>
      </w:pPr>
      <w:r>
        <w:t xml:space="preserve"> </w:t>
      </w:r>
    </w:p>
    <w:p w14:paraId="57FA3037" w14:textId="540ED069" w:rsidR="003D1B11" w:rsidRDefault="003D1B11" w:rsidP="003D1B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1)Il mancato rafforzamento della indipendenza del giudice tributario.</w:t>
      </w:r>
    </w:p>
    <w:p w14:paraId="0926E889" w14:textId="77777777" w:rsidR="003D1B11" w:rsidRDefault="003D1B11" w:rsidP="003D1B11">
      <w:pPr>
        <w:pStyle w:val="Default"/>
        <w:rPr>
          <w:sz w:val="23"/>
          <w:szCs w:val="23"/>
        </w:rPr>
      </w:pPr>
    </w:p>
    <w:p w14:paraId="73B8076D" w14:textId="126B4962" w:rsidR="003D1B11" w:rsidRPr="003D1B11" w:rsidRDefault="003D1B11" w:rsidP="003D1B1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2) Il disservizio dell’attività giudiziaria nelle sedi che rimarranno scoperte </w:t>
      </w:r>
      <w:r w:rsidRPr="003D1B11">
        <w:rPr>
          <w:b/>
          <w:bCs/>
          <w:sz w:val="23"/>
          <w:szCs w:val="23"/>
        </w:rPr>
        <w:t xml:space="preserve">a causa della diminuzione del numero dei giudici. </w:t>
      </w:r>
      <w:r>
        <w:rPr>
          <w:sz w:val="23"/>
          <w:szCs w:val="23"/>
        </w:rPr>
        <w:t xml:space="preserve">Dal 1° gennaio 2023 al 31 dicembre 2027 sulla base del Ruolo unico pubblicato dal CPGT, cesseranno dalle funzioni </w:t>
      </w:r>
      <w:r>
        <w:rPr>
          <w:b/>
          <w:bCs/>
          <w:sz w:val="23"/>
          <w:szCs w:val="23"/>
        </w:rPr>
        <w:t xml:space="preserve">n. 1100 giudici tributari </w:t>
      </w:r>
      <w:r>
        <w:rPr>
          <w:sz w:val="23"/>
          <w:szCs w:val="23"/>
        </w:rPr>
        <w:t xml:space="preserve">rispetto agli attuali </w:t>
      </w:r>
      <w:r>
        <w:rPr>
          <w:b/>
          <w:bCs/>
          <w:sz w:val="23"/>
          <w:szCs w:val="23"/>
        </w:rPr>
        <w:t xml:space="preserve">n. 2490 giudici in servizio. </w:t>
      </w:r>
      <w:r>
        <w:rPr>
          <w:sz w:val="23"/>
          <w:szCs w:val="23"/>
        </w:rPr>
        <w:t xml:space="preserve">Il previsto ingresso di n.100 magistrati tributari </w:t>
      </w:r>
      <w:r>
        <w:rPr>
          <w:b/>
          <w:bCs/>
          <w:sz w:val="23"/>
          <w:szCs w:val="23"/>
        </w:rPr>
        <w:t>provenienti dalle altre magistrature per dedicarsi a tempo pieno a quella tributaria</w:t>
      </w:r>
      <w:r>
        <w:rPr>
          <w:sz w:val="23"/>
          <w:szCs w:val="23"/>
        </w:rPr>
        <w:t xml:space="preserve">, e l’ingresso di 100 nuovi magistrati tributari a seguito del primo concorso pubblico che sarà a breve bandito dal CPGT, non consentirà lo svolgimento della funzione giudiziaria nei tempi (brevi) richiesti dal PNRR. L’entrata a regime del nuovo assetto richiede l’espletamento dell’ultimo concorso previsto per il 2030, </w:t>
      </w:r>
      <w:r>
        <w:rPr>
          <w:b/>
          <w:bCs/>
          <w:sz w:val="23"/>
          <w:szCs w:val="23"/>
        </w:rPr>
        <w:t>vale a dire nell’arco di almeno un decennio dall’entrata in vigore della legge</w:t>
      </w:r>
      <w:r>
        <w:rPr>
          <w:sz w:val="23"/>
          <w:szCs w:val="23"/>
        </w:rPr>
        <w:t>.</w:t>
      </w:r>
    </w:p>
    <w:p w14:paraId="7601C7D9" w14:textId="77777777" w:rsidR="003D1B11" w:rsidRDefault="003D1B11" w:rsidP="003D1B11">
      <w:pPr>
        <w:pStyle w:val="Default"/>
        <w:rPr>
          <w:sz w:val="23"/>
          <w:szCs w:val="23"/>
        </w:rPr>
      </w:pPr>
    </w:p>
    <w:p w14:paraId="3D5CB55C" w14:textId="2809AB1A" w:rsidR="003D1B11" w:rsidRDefault="003D1B11" w:rsidP="003D1B1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3) L’eliminazione del c.d. incentivo economico (c.d. compenso premiale) </w:t>
      </w:r>
      <w:r>
        <w:rPr>
          <w:sz w:val="23"/>
          <w:szCs w:val="23"/>
        </w:rPr>
        <w:t xml:space="preserve">a favore delle Commissioni più virtuose che ogni anno smaltiscono il 10% dell’arretrato dell’anno precedente. Tale previsione, non solo non agevolerà lo smaltimento delle cause pendenti ma si risolverà in una penalizzazione economica per i giudici più virtuosi. Il prospettato aumento del compenso mensile nella misura del 130%, tenuto conto che la media dei compensi di un componente si aggira intorno ai € 370 ,00 lordi, si traduce in ben poco. </w:t>
      </w:r>
    </w:p>
    <w:p w14:paraId="28A6690F" w14:textId="77777777" w:rsidR="003D1B11" w:rsidRDefault="003D1B11" w:rsidP="003D1B11">
      <w:pPr>
        <w:pStyle w:val="Default"/>
        <w:rPr>
          <w:sz w:val="23"/>
          <w:szCs w:val="23"/>
        </w:rPr>
      </w:pPr>
    </w:p>
    <w:p w14:paraId="68791BEE" w14:textId="33DA773C" w:rsidR="00F71313" w:rsidRDefault="003D1B11" w:rsidP="005F6B5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4) La palese disparità di trattamento </w:t>
      </w:r>
      <w:r w:rsidR="005F6B57">
        <w:rPr>
          <w:b/>
          <w:bCs/>
          <w:sz w:val="23"/>
          <w:szCs w:val="23"/>
        </w:rPr>
        <w:t xml:space="preserve">tra gli attuali giudici in servizio sia sotto il profilo della possibilità di accesso senza concorso alla magistratura professionale, sia sotto il profilo dello status </w:t>
      </w:r>
      <w:r w:rsidR="00587E10">
        <w:rPr>
          <w:b/>
          <w:bCs/>
          <w:sz w:val="23"/>
          <w:szCs w:val="23"/>
        </w:rPr>
        <w:t>giuridico ed</w:t>
      </w:r>
      <w:r w:rsidR="005F6B5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economico </w:t>
      </w:r>
      <w:r w:rsidR="005F6B57">
        <w:rPr>
          <w:b/>
          <w:bCs/>
          <w:sz w:val="23"/>
          <w:szCs w:val="23"/>
        </w:rPr>
        <w:t>differente per i giudici in servizio e i magistrati recluta</w:t>
      </w:r>
      <w:r w:rsidR="00623862">
        <w:rPr>
          <w:b/>
          <w:bCs/>
          <w:sz w:val="23"/>
          <w:szCs w:val="23"/>
        </w:rPr>
        <w:t>ti</w:t>
      </w:r>
      <w:r w:rsidR="005F6B57">
        <w:rPr>
          <w:b/>
          <w:bCs/>
          <w:sz w:val="23"/>
          <w:szCs w:val="23"/>
        </w:rPr>
        <w:t xml:space="preserve"> con concorso, nonostante l’espletamento delle stesse funzioni giudiziarie. </w:t>
      </w:r>
      <w:r w:rsidR="005F6B57" w:rsidRPr="005F6B57">
        <w:rPr>
          <w:sz w:val="23"/>
          <w:szCs w:val="23"/>
        </w:rPr>
        <w:t>D</w:t>
      </w:r>
      <w:r w:rsidRPr="005F6B57">
        <w:rPr>
          <w:sz w:val="23"/>
          <w:szCs w:val="23"/>
        </w:rPr>
        <w:t>isparità tanto più stridente se si considera che, quantomeno in sede di prima applicazione, saranno i giudici attualmente in servizio a doversi occupare del tirocinio e della valutazione dei nuovi magistrati tributari assunti per concorso.</w:t>
      </w:r>
      <w:r>
        <w:rPr>
          <w:sz w:val="23"/>
          <w:szCs w:val="23"/>
        </w:rPr>
        <w:t xml:space="preserve"> </w:t>
      </w:r>
    </w:p>
    <w:p w14:paraId="296C4CD0" w14:textId="77777777" w:rsidR="00F71313" w:rsidRDefault="00F71313" w:rsidP="005F6B57">
      <w:pPr>
        <w:pStyle w:val="Default"/>
        <w:jc w:val="both"/>
        <w:rPr>
          <w:sz w:val="23"/>
          <w:szCs w:val="23"/>
        </w:rPr>
      </w:pPr>
    </w:p>
    <w:p w14:paraId="55A35B44" w14:textId="3142BDC2" w:rsidR="00F71313" w:rsidRDefault="00F71313" w:rsidP="005F6B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r w:rsidRPr="000B2790">
        <w:rPr>
          <w:b/>
          <w:bCs/>
          <w:sz w:val="23"/>
          <w:szCs w:val="23"/>
        </w:rPr>
        <w:t>La norma in materia di applicazione di ufficio dei giudici in servizio nelle sedi scoperte con la previsione</w:t>
      </w:r>
      <w:r>
        <w:rPr>
          <w:sz w:val="23"/>
          <w:szCs w:val="23"/>
        </w:rPr>
        <w:t xml:space="preserve"> di un incentivo forfettario onnicomprensivo di € 100,00</w:t>
      </w:r>
      <w:r w:rsidR="006A5D5A">
        <w:rPr>
          <w:sz w:val="23"/>
          <w:szCs w:val="23"/>
        </w:rPr>
        <w:t>. (Art.1 comma 14 legge 130/22)</w:t>
      </w:r>
    </w:p>
    <w:p w14:paraId="612B2A08" w14:textId="1084E71F" w:rsidR="00F71313" w:rsidRPr="00F71313" w:rsidRDefault="00F71313" w:rsidP="005F6B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3F99B6" w14:textId="7B9226E1" w:rsidR="003D1B11" w:rsidRDefault="00F71313" w:rsidP="005F6B5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3D1B11">
        <w:rPr>
          <w:b/>
          <w:bCs/>
          <w:sz w:val="23"/>
          <w:szCs w:val="23"/>
        </w:rPr>
        <w:t>)Le nuove regole di elezione dei componenti dell’organo di autogoverno</w:t>
      </w:r>
      <w:r w:rsidR="000B2790">
        <w:rPr>
          <w:b/>
          <w:bCs/>
          <w:sz w:val="23"/>
          <w:szCs w:val="23"/>
        </w:rPr>
        <w:t xml:space="preserve"> che </w:t>
      </w:r>
      <w:r w:rsidR="003D1B11">
        <w:rPr>
          <w:sz w:val="23"/>
          <w:szCs w:val="23"/>
        </w:rPr>
        <w:t>favo</w:t>
      </w:r>
      <w:r w:rsidR="000B2790">
        <w:rPr>
          <w:sz w:val="23"/>
          <w:szCs w:val="23"/>
        </w:rPr>
        <w:t>rendo</w:t>
      </w:r>
      <w:r w:rsidR="003D1B11">
        <w:rPr>
          <w:sz w:val="23"/>
          <w:szCs w:val="23"/>
        </w:rPr>
        <w:t xml:space="preserve"> alcune categorie di giudici</w:t>
      </w:r>
      <w:r w:rsidR="000B2790">
        <w:rPr>
          <w:sz w:val="23"/>
          <w:szCs w:val="23"/>
        </w:rPr>
        <w:t>,</w:t>
      </w:r>
      <w:r w:rsidR="003D1B11">
        <w:rPr>
          <w:sz w:val="23"/>
          <w:szCs w:val="23"/>
        </w:rPr>
        <w:t xml:space="preserve"> alterano il principio della proporzionalità della </w:t>
      </w:r>
      <w:r w:rsidR="000B2790">
        <w:rPr>
          <w:sz w:val="23"/>
          <w:szCs w:val="23"/>
        </w:rPr>
        <w:t>rappresentanza,</w:t>
      </w:r>
      <w:r w:rsidR="003D1B11">
        <w:rPr>
          <w:sz w:val="23"/>
          <w:szCs w:val="23"/>
        </w:rPr>
        <w:t xml:space="preserve"> della razionalità del sistema elettorale</w:t>
      </w:r>
      <w:r w:rsidR="000B2790">
        <w:rPr>
          <w:sz w:val="23"/>
          <w:szCs w:val="23"/>
        </w:rPr>
        <w:t xml:space="preserve"> e</w:t>
      </w:r>
      <w:r w:rsidR="003D1B11">
        <w:rPr>
          <w:sz w:val="23"/>
          <w:szCs w:val="23"/>
        </w:rPr>
        <w:t xml:space="preserve"> </w:t>
      </w:r>
      <w:r w:rsidR="003D1B11">
        <w:rPr>
          <w:sz w:val="23"/>
          <w:szCs w:val="23"/>
        </w:rPr>
        <w:lastRenderedPageBreak/>
        <w:t xml:space="preserve">non rispondono al conseguimento di tutela di interessi protetti e neppure a regole di necessità e ragione (art </w:t>
      </w:r>
      <w:r w:rsidR="000B2790">
        <w:rPr>
          <w:sz w:val="23"/>
          <w:szCs w:val="23"/>
        </w:rPr>
        <w:t>3</w:t>
      </w:r>
      <w:r w:rsidR="003D1B11">
        <w:rPr>
          <w:sz w:val="23"/>
          <w:szCs w:val="23"/>
        </w:rPr>
        <w:t xml:space="preserve"> Cost); </w:t>
      </w:r>
    </w:p>
    <w:p w14:paraId="3A0E95E3" w14:textId="77777777" w:rsidR="003D1B11" w:rsidRDefault="003D1B11" w:rsidP="003D1B11">
      <w:pPr>
        <w:jc w:val="both"/>
      </w:pPr>
    </w:p>
    <w:p w14:paraId="0D9F08E2" w14:textId="0068E419" w:rsidR="00071839" w:rsidRDefault="00951583" w:rsidP="005F6B57">
      <w:pPr>
        <w:jc w:val="center"/>
        <w:rPr>
          <w:b/>
          <w:bCs/>
        </w:rPr>
      </w:pPr>
      <w:r w:rsidRPr="00951583">
        <w:rPr>
          <w:b/>
          <w:bCs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9043"/>
      </w:tblGrid>
      <w:tr w:rsidR="0088178F" w14:paraId="162CA092" w14:textId="77777777" w:rsidTr="0088178F">
        <w:trPr>
          <w:trHeight w:val="741"/>
        </w:trPr>
        <w:tc>
          <w:tcPr>
            <w:tcW w:w="704" w:type="dxa"/>
          </w:tcPr>
          <w:p w14:paraId="6DC0EDC0" w14:textId="0BE3731A" w:rsidR="0088178F" w:rsidRDefault="0088178F" w:rsidP="00951583">
            <w:pPr>
              <w:rPr>
                <w:b/>
                <w:bCs/>
              </w:rPr>
            </w:pPr>
          </w:p>
        </w:tc>
        <w:tc>
          <w:tcPr>
            <w:tcW w:w="9043" w:type="dxa"/>
          </w:tcPr>
          <w:p w14:paraId="260BF53D" w14:textId="0DC172C5" w:rsidR="00E25016" w:rsidRPr="00E25016" w:rsidRDefault="0088178F" w:rsidP="00951583">
            <w:r>
              <w:rPr>
                <w:b/>
                <w:bCs/>
              </w:rPr>
              <w:t xml:space="preserve">di aderire </w:t>
            </w:r>
            <w:r w:rsidRPr="00E25016">
              <w:t>all</w:t>
            </w:r>
            <w:r w:rsidR="000B2790" w:rsidRPr="00E25016">
              <w:t>’</w:t>
            </w:r>
            <w:r w:rsidRPr="00E25016">
              <w:t xml:space="preserve"> astensione dalla attività giudiziaria </w:t>
            </w:r>
            <w:r w:rsidR="000B2790" w:rsidRPr="00E25016">
              <w:t xml:space="preserve">nel periodo </w:t>
            </w:r>
            <w:r w:rsidR="000B2790" w:rsidRPr="00E25016">
              <w:rPr>
                <w:b/>
                <w:bCs/>
                <w:color w:val="FF0000"/>
                <w:sz w:val="24"/>
                <w:szCs w:val="24"/>
              </w:rPr>
              <w:t xml:space="preserve">19-21 settembre 2022 </w:t>
            </w:r>
            <w:r w:rsidR="00E25016" w:rsidRPr="00E25016">
              <w:rPr>
                <w:b/>
                <w:bCs/>
                <w:color w:val="FF0000"/>
                <w:sz w:val="24"/>
                <w:szCs w:val="24"/>
              </w:rPr>
              <w:t>con l’eccezione della trattazione delle istanze cautelari</w:t>
            </w:r>
            <w:r w:rsidR="00E25016" w:rsidRPr="00E25016">
              <w:rPr>
                <w:color w:val="FF0000"/>
                <w:sz w:val="24"/>
                <w:szCs w:val="24"/>
              </w:rPr>
              <w:t xml:space="preserve"> </w:t>
            </w:r>
            <w:r w:rsidR="008474F5" w:rsidRPr="00E25016">
              <w:t xml:space="preserve">(art.47 e 62 bis </w:t>
            </w:r>
            <w:r w:rsidR="00E25016" w:rsidRPr="00E25016">
              <w:t>D.lvo</w:t>
            </w:r>
            <w:r w:rsidR="00D65406" w:rsidRPr="00E25016">
              <w:t xml:space="preserve"> 546/</w:t>
            </w:r>
            <w:r w:rsidR="00E25016" w:rsidRPr="00E25016">
              <w:t xml:space="preserve">92) </w:t>
            </w:r>
          </w:p>
          <w:p w14:paraId="1D6DBE5C" w14:textId="29209393" w:rsidR="0088178F" w:rsidRPr="000B2790" w:rsidRDefault="00E25016" w:rsidP="0095158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25016">
              <w:t xml:space="preserve"> in quanto servizio essenziale.</w:t>
            </w:r>
            <w:r>
              <w:rPr>
                <w:b/>
                <w:bCs/>
              </w:rPr>
              <w:t xml:space="preserve"> </w:t>
            </w:r>
            <w:r w:rsidR="006D23EB">
              <w:rPr>
                <w:b/>
                <w:bCs/>
              </w:rPr>
              <w:t>*</w:t>
            </w:r>
            <w:r w:rsidR="006D23EB">
              <w:rPr>
                <w:rStyle w:val="Rimandonotaapidipagina"/>
                <w:b/>
                <w:bCs/>
                <w:color w:val="FF0000"/>
                <w:sz w:val="28"/>
                <w:szCs w:val="28"/>
              </w:rPr>
              <w:footnoteReference w:id="1"/>
            </w:r>
          </w:p>
        </w:tc>
      </w:tr>
      <w:tr w:rsidR="0088178F" w14:paraId="50ED8A63" w14:textId="77777777" w:rsidTr="0088178F">
        <w:trPr>
          <w:trHeight w:val="694"/>
        </w:trPr>
        <w:tc>
          <w:tcPr>
            <w:tcW w:w="704" w:type="dxa"/>
          </w:tcPr>
          <w:p w14:paraId="4918D003" w14:textId="77777777" w:rsidR="0088178F" w:rsidRDefault="0088178F" w:rsidP="00951583">
            <w:pPr>
              <w:rPr>
                <w:b/>
                <w:bCs/>
              </w:rPr>
            </w:pPr>
          </w:p>
        </w:tc>
        <w:tc>
          <w:tcPr>
            <w:tcW w:w="9043" w:type="dxa"/>
          </w:tcPr>
          <w:p w14:paraId="4E2A2EFB" w14:textId="77777777" w:rsidR="000B2790" w:rsidRDefault="000B2790" w:rsidP="00951583">
            <w:pPr>
              <w:rPr>
                <w:b/>
                <w:bCs/>
              </w:rPr>
            </w:pPr>
          </w:p>
          <w:p w14:paraId="6D20A98D" w14:textId="136DC3B5" w:rsidR="0088178F" w:rsidRPr="00E25016" w:rsidRDefault="0088178F" w:rsidP="0095158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</w:rPr>
              <w:t xml:space="preserve">di aderire alla astensione dalla attività giudiziaria proclamata e, conseguentemente, di non svolgere attività giudiziaria nel periodo </w:t>
            </w:r>
            <w:r w:rsidRPr="00E25016">
              <w:rPr>
                <w:b/>
                <w:bCs/>
                <w:color w:val="FF0000"/>
                <w:sz w:val="24"/>
                <w:szCs w:val="24"/>
              </w:rPr>
              <w:t>19-2</w:t>
            </w:r>
            <w:r w:rsidR="003E352F" w:rsidRPr="00E25016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E25016">
              <w:rPr>
                <w:b/>
                <w:bCs/>
                <w:color w:val="FF0000"/>
                <w:sz w:val="24"/>
                <w:szCs w:val="24"/>
              </w:rPr>
              <w:t xml:space="preserve"> settembre </w:t>
            </w:r>
            <w:r w:rsidR="006D23EB" w:rsidRPr="00E25016">
              <w:rPr>
                <w:b/>
                <w:bCs/>
                <w:color w:val="FF0000"/>
                <w:sz w:val="24"/>
                <w:szCs w:val="24"/>
              </w:rPr>
              <w:t>2022.</w:t>
            </w:r>
            <w:r w:rsidR="006D23EB">
              <w:rPr>
                <w:b/>
                <w:bCs/>
                <w:color w:val="FF0000"/>
                <w:sz w:val="24"/>
                <w:szCs w:val="24"/>
              </w:rPr>
              <w:t xml:space="preserve"> *</w:t>
            </w:r>
            <w:r w:rsidR="006D23EB">
              <w:rPr>
                <w:rStyle w:val="Rimandonotaapidipagina"/>
                <w:b/>
                <w:bCs/>
                <w:color w:val="FF0000"/>
                <w:sz w:val="28"/>
                <w:szCs w:val="28"/>
              </w:rPr>
              <w:footnoteReference w:id="2"/>
            </w:r>
          </w:p>
          <w:p w14:paraId="57F0EE29" w14:textId="515CB88C" w:rsidR="00E25016" w:rsidRDefault="00E25016" w:rsidP="00951583">
            <w:pPr>
              <w:rPr>
                <w:b/>
                <w:bCs/>
              </w:rPr>
            </w:pPr>
          </w:p>
        </w:tc>
      </w:tr>
    </w:tbl>
    <w:p w14:paraId="43C9F783" w14:textId="77777777" w:rsidR="00E25016" w:rsidRDefault="00E25016" w:rsidP="00587E10">
      <w:pPr>
        <w:rPr>
          <w:b/>
          <w:bCs/>
          <w:color w:val="FF0000"/>
        </w:rPr>
      </w:pPr>
    </w:p>
    <w:p w14:paraId="178349CB" w14:textId="632F45EE" w:rsidR="00951583" w:rsidRDefault="0051417B" w:rsidP="0051417B">
      <w:pPr>
        <w:jc w:val="center"/>
        <w:rPr>
          <w:b/>
          <w:bCs/>
        </w:rPr>
      </w:pPr>
      <w:r>
        <w:rPr>
          <w:b/>
          <w:bCs/>
        </w:rPr>
        <w:t>CONFERMA</w:t>
      </w:r>
    </w:p>
    <w:p w14:paraId="68AB4919" w14:textId="5C7B1185" w:rsidR="00A50550" w:rsidRDefault="0051417B" w:rsidP="00951583">
      <w:pPr>
        <w:rPr>
          <w:b/>
          <w:bCs/>
        </w:rPr>
      </w:pPr>
      <w:r>
        <w:rPr>
          <w:b/>
          <w:bCs/>
        </w:rPr>
        <w:t xml:space="preserve">lo svolgimento di servizi essenziali, laddove presenti e programmati, tra cui la discussione delle istanze cautelari ex </w:t>
      </w:r>
      <w:r w:rsidR="00587E10">
        <w:rPr>
          <w:b/>
          <w:bCs/>
        </w:rPr>
        <w:t>art 47</w:t>
      </w:r>
      <w:r>
        <w:rPr>
          <w:b/>
          <w:bCs/>
        </w:rPr>
        <w:t xml:space="preserve"> e 62 bis D.Lvo 546/92.</w:t>
      </w:r>
    </w:p>
    <w:p w14:paraId="5E0AE9D4" w14:textId="63B95037" w:rsidR="0051417B" w:rsidRDefault="0051417B" w:rsidP="00951583">
      <w:pPr>
        <w:rPr>
          <w:b/>
          <w:bCs/>
        </w:rPr>
      </w:pPr>
    </w:p>
    <w:p w14:paraId="574744E4" w14:textId="77777777" w:rsidR="0051417B" w:rsidRDefault="0051417B" w:rsidP="00951583">
      <w:pPr>
        <w:rPr>
          <w:b/>
          <w:bCs/>
        </w:rPr>
      </w:pPr>
    </w:p>
    <w:p w14:paraId="7136C32F" w14:textId="04D10A22" w:rsidR="00C84C5F" w:rsidRDefault="00A50550" w:rsidP="00951583">
      <w:pPr>
        <w:rPr>
          <w:b/>
          <w:bCs/>
        </w:rPr>
      </w:pPr>
      <w:r>
        <w:rPr>
          <w:b/>
          <w:bCs/>
        </w:rPr>
        <w:t>Comunicazione da trasmettere</w:t>
      </w:r>
      <w:r w:rsidR="00C84C5F">
        <w:rPr>
          <w:b/>
          <w:bCs/>
        </w:rPr>
        <w:t>:</w:t>
      </w:r>
    </w:p>
    <w:p w14:paraId="296E50FB" w14:textId="6F520BF1" w:rsidR="00951583" w:rsidRPr="00C84C5F" w:rsidRDefault="00A50550" w:rsidP="00C84C5F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C84C5F">
        <w:rPr>
          <w:b/>
          <w:bCs/>
          <w:sz w:val="24"/>
          <w:szCs w:val="24"/>
        </w:rPr>
        <w:t>alla presidenza</w:t>
      </w:r>
      <w:r w:rsidR="006D23EB">
        <w:rPr>
          <w:b/>
          <w:bCs/>
          <w:sz w:val="24"/>
          <w:szCs w:val="24"/>
        </w:rPr>
        <w:t xml:space="preserve"> e </w:t>
      </w:r>
      <w:r w:rsidR="006D23EB" w:rsidRPr="00C84C5F">
        <w:rPr>
          <w:b/>
          <w:bCs/>
          <w:sz w:val="24"/>
          <w:szCs w:val="24"/>
        </w:rPr>
        <w:t>alla</w:t>
      </w:r>
      <w:r w:rsidRPr="00C84C5F">
        <w:rPr>
          <w:b/>
          <w:bCs/>
          <w:sz w:val="24"/>
          <w:szCs w:val="24"/>
        </w:rPr>
        <w:t xml:space="preserve"> segre</w:t>
      </w:r>
      <w:r w:rsidR="00AF1F44" w:rsidRPr="00C84C5F">
        <w:rPr>
          <w:b/>
          <w:bCs/>
          <w:sz w:val="24"/>
          <w:szCs w:val="24"/>
        </w:rPr>
        <w:t>te</w:t>
      </w:r>
      <w:r w:rsidRPr="00C84C5F">
        <w:rPr>
          <w:b/>
          <w:bCs/>
          <w:sz w:val="24"/>
          <w:szCs w:val="24"/>
        </w:rPr>
        <w:t xml:space="preserve">ria </w:t>
      </w:r>
      <w:r w:rsidR="006D23EB">
        <w:rPr>
          <w:b/>
          <w:bCs/>
          <w:sz w:val="24"/>
          <w:szCs w:val="24"/>
        </w:rPr>
        <w:t xml:space="preserve">della </w:t>
      </w:r>
      <w:r w:rsidR="00455D2E">
        <w:rPr>
          <w:b/>
          <w:bCs/>
          <w:sz w:val="24"/>
          <w:szCs w:val="24"/>
        </w:rPr>
        <w:t>Commissione di</w:t>
      </w:r>
      <w:r w:rsidR="006D23EB">
        <w:rPr>
          <w:b/>
          <w:bCs/>
          <w:sz w:val="24"/>
          <w:szCs w:val="24"/>
        </w:rPr>
        <w:t xml:space="preserve"> appartenenza e, nel caso, </w:t>
      </w:r>
      <w:r w:rsidR="00455D2E">
        <w:rPr>
          <w:b/>
          <w:bCs/>
          <w:sz w:val="24"/>
          <w:szCs w:val="24"/>
        </w:rPr>
        <w:t xml:space="preserve">di </w:t>
      </w:r>
      <w:r w:rsidR="006D23EB">
        <w:rPr>
          <w:b/>
          <w:bCs/>
          <w:sz w:val="24"/>
          <w:szCs w:val="24"/>
        </w:rPr>
        <w:t>applica</w:t>
      </w:r>
      <w:r w:rsidR="00455D2E">
        <w:rPr>
          <w:b/>
          <w:bCs/>
          <w:sz w:val="24"/>
          <w:szCs w:val="24"/>
        </w:rPr>
        <w:t xml:space="preserve">zione </w:t>
      </w:r>
      <w:r w:rsidR="00C84C5F" w:rsidRPr="00C84C5F">
        <w:rPr>
          <w:b/>
          <w:bCs/>
          <w:sz w:val="24"/>
          <w:szCs w:val="24"/>
        </w:rPr>
        <w:t>.</w:t>
      </w:r>
    </w:p>
    <w:p w14:paraId="2D8E1BBC" w14:textId="1ED1A3AA" w:rsidR="00C84C5F" w:rsidRPr="00C84C5F" w:rsidRDefault="00C84C5F" w:rsidP="00C84C5F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</w:rPr>
        <w:t xml:space="preserve">A </w:t>
      </w:r>
      <w:r w:rsidRPr="00C84C5F">
        <w:rPr>
          <w:b/>
          <w:bCs/>
          <w:sz w:val="24"/>
          <w:szCs w:val="24"/>
        </w:rPr>
        <w:t xml:space="preserve">questa Associazione all’indirizzo e-mail: </w:t>
      </w:r>
      <w:hyperlink r:id="rId8" w:history="1">
        <w:r w:rsidRPr="00C84C5F">
          <w:rPr>
            <w:rStyle w:val="Collegamentoipertestuale"/>
            <w:b/>
            <w:bCs/>
            <w:sz w:val="24"/>
            <w:szCs w:val="24"/>
          </w:rPr>
          <w:t>aderisco@amtmail.it</w:t>
        </w:r>
      </w:hyperlink>
      <w:r w:rsidRPr="00C84C5F">
        <w:rPr>
          <w:b/>
          <w:bCs/>
          <w:sz w:val="24"/>
          <w:szCs w:val="24"/>
        </w:rPr>
        <w:t xml:space="preserve"> </w:t>
      </w:r>
      <w:r w:rsidR="006D23EB" w:rsidRPr="00C84C5F">
        <w:rPr>
          <w:b/>
          <w:bCs/>
          <w:sz w:val="24"/>
          <w:szCs w:val="24"/>
        </w:rPr>
        <w:t xml:space="preserve">entro giorno </w:t>
      </w:r>
      <w:r w:rsidR="006D23EB">
        <w:rPr>
          <w:b/>
          <w:bCs/>
          <w:sz w:val="24"/>
          <w:szCs w:val="24"/>
        </w:rPr>
        <w:t xml:space="preserve">14 </w:t>
      </w:r>
      <w:r w:rsidR="006D23EB" w:rsidRPr="00C84C5F">
        <w:rPr>
          <w:b/>
          <w:bCs/>
          <w:sz w:val="24"/>
          <w:szCs w:val="24"/>
        </w:rPr>
        <w:t>/9/2022</w:t>
      </w:r>
    </w:p>
    <w:p w14:paraId="13435BC2" w14:textId="1A23E597" w:rsidR="0088178F" w:rsidRDefault="0088178F" w:rsidP="00951583">
      <w:pPr>
        <w:rPr>
          <w:b/>
          <w:bCs/>
        </w:rPr>
      </w:pPr>
    </w:p>
    <w:p w14:paraId="28889175" w14:textId="380E3A54" w:rsidR="0088178F" w:rsidRDefault="0088178F" w:rsidP="0088178F">
      <w:pPr>
        <w:ind w:left="7080"/>
        <w:rPr>
          <w:b/>
          <w:bCs/>
        </w:rPr>
      </w:pPr>
      <w:r>
        <w:rPr>
          <w:b/>
          <w:bCs/>
        </w:rPr>
        <w:t xml:space="preserve">     </w:t>
      </w:r>
      <w:r w:rsidR="00455D2E">
        <w:rPr>
          <w:b/>
          <w:bCs/>
        </w:rPr>
        <w:t xml:space="preserve">                    </w:t>
      </w:r>
      <w:r>
        <w:rPr>
          <w:b/>
          <w:bCs/>
        </w:rPr>
        <w:t xml:space="preserve"> FIRMA </w:t>
      </w:r>
      <w:r w:rsidR="00455D2E">
        <w:rPr>
          <w:b/>
          <w:bCs/>
        </w:rPr>
        <w:t xml:space="preserve">(digitale)                                     </w:t>
      </w:r>
      <w:r>
        <w:rPr>
          <w:b/>
          <w:bCs/>
        </w:rPr>
        <w:br/>
      </w:r>
    </w:p>
    <w:p w14:paraId="1774A222" w14:textId="759AD3A1" w:rsidR="0088178F" w:rsidRPr="00951583" w:rsidRDefault="0088178F" w:rsidP="0088178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</w:p>
    <w:sectPr w:rsidR="0088178F" w:rsidRPr="00951583" w:rsidSect="006D23EB">
      <w:footerReference w:type="default" r:id="rId9"/>
      <w:pgSz w:w="11906" w:h="16838"/>
      <w:pgMar w:top="851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A686" w14:textId="77777777" w:rsidR="000B2950" w:rsidRDefault="000B2950" w:rsidP="00587E10">
      <w:pPr>
        <w:spacing w:after="0" w:line="240" w:lineRule="auto"/>
      </w:pPr>
      <w:r>
        <w:separator/>
      </w:r>
    </w:p>
  </w:endnote>
  <w:endnote w:type="continuationSeparator" w:id="0">
    <w:p w14:paraId="00AD447E" w14:textId="77777777" w:rsidR="000B2950" w:rsidRDefault="000B2950" w:rsidP="0058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934498"/>
      <w:docPartObj>
        <w:docPartGallery w:val="Page Numbers (Bottom of Page)"/>
        <w:docPartUnique/>
      </w:docPartObj>
    </w:sdtPr>
    <w:sdtContent>
      <w:p w14:paraId="72BDB59F" w14:textId="1D33F39B" w:rsidR="00587E10" w:rsidRDefault="00587E1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7B29B7" w14:textId="77777777" w:rsidR="00587E10" w:rsidRDefault="00587E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8A80" w14:textId="77777777" w:rsidR="000B2950" w:rsidRDefault="000B2950" w:rsidP="00587E10">
      <w:pPr>
        <w:spacing w:after="0" w:line="240" w:lineRule="auto"/>
      </w:pPr>
      <w:r>
        <w:separator/>
      </w:r>
    </w:p>
  </w:footnote>
  <w:footnote w:type="continuationSeparator" w:id="0">
    <w:p w14:paraId="1CC8DAD7" w14:textId="77777777" w:rsidR="000B2950" w:rsidRDefault="000B2950" w:rsidP="00587E10">
      <w:pPr>
        <w:spacing w:after="0" w:line="240" w:lineRule="auto"/>
      </w:pPr>
      <w:r>
        <w:continuationSeparator/>
      </w:r>
    </w:p>
  </w:footnote>
  <w:footnote w:id="1">
    <w:p w14:paraId="0CAB84DF" w14:textId="40C7272D" w:rsidR="006D23EB" w:rsidRPr="006D23EB" w:rsidRDefault="006D23EB" w:rsidP="006D23EB">
      <w:pPr>
        <w:pStyle w:val="Paragrafoelenco"/>
        <w:rPr>
          <w:b/>
          <w:bCs/>
          <w:sz w:val="20"/>
          <w:szCs w:val="20"/>
        </w:rPr>
      </w:pPr>
      <w:r w:rsidRPr="006D23EB">
        <w:rPr>
          <w:rStyle w:val="Rimandonotaapidipagina"/>
          <w:sz w:val="20"/>
          <w:szCs w:val="20"/>
        </w:rPr>
        <w:footnoteRef/>
      </w:r>
      <w:r w:rsidRPr="006D23EB">
        <w:rPr>
          <w:sz w:val="20"/>
          <w:szCs w:val="20"/>
        </w:rPr>
        <w:t xml:space="preserve"> </w:t>
      </w:r>
      <w:bookmarkStart w:id="0" w:name="_Hlk113445456"/>
      <w:r w:rsidRPr="006D23EB">
        <w:rPr>
          <w:b/>
          <w:bCs/>
          <w:sz w:val="20"/>
          <w:szCs w:val="20"/>
        </w:rPr>
        <w:t xml:space="preserve">I giudici che hanno udienza nei giorni indicati e che intendono aderire alla astensione dall’attività giudiziaria spunteranno entrambe le caselle </w:t>
      </w:r>
    </w:p>
    <w:bookmarkEnd w:id="0"/>
    <w:p w14:paraId="61CA2A45" w14:textId="2B1513EA" w:rsidR="006D23EB" w:rsidRDefault="006D23EB">
      <w:pPr>
        <w:pStyle w:val="Testonotaapidipagina"/>
      </w:pPr>
    </w:p>
  </w:footnote>
  <w:footnote w:id="2">
    <w:p w14:paraId="1FC00A36" w14:textId="15881C7F" w:rsidR="006D23EB" w:rsidRPr="006D23EB" w:rsidRDefault="006D23EB" w:rsidP="006D23EB">
      <w:pPr>
        <w:pStyle w:val="Paragrafoelenco"/>
        <w:rPr>
          <w:b/>
          <w:bCs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6D23EB">
        <w:rPr>
          <w:b/>
          <w:bCs/>
          <w:sz w:val="20"/>
          <w:szCs w:val="20"/>
        </w:rPr>
        <w:t>I giudici che</w:t>
      </w:r>
      <w:r>
        <w:rPr>
          <w:b/>
          <w:bCs/>
          <w:sz w:val="20"/>
          <w:szCs w:val="20"/>
        </w:rPr>
        <w:t xml:space="preserve"> NON </w:t>
      </w:r>
      <w:r w:rsidRPr="006D23EB">
        <w:rPr>
          <w:b/>
          <w:bCs/>
          <w:sz w:val="20"/>
          <w:szCs w:val="20"/>
        </w:rPr>
        <w:t xml:space="preserve">hanno udienza nei giorni indicati e che intendono aderire alla astensione dall’attività giudiziaria spunteranno </w:t>
      </w:r>
      <w:r>
        <w:rPr>
          <w:b/>
          <w:bCs/>
          <w:sz w:val="20"/>
          <w:szCs w:val="20"/>
        </w:rPr>
        <w:t>la seconda casella</w:t>
      </w:r>
      <w:r w:rsidRPr="006D23EB">
        <w:rPr>
          <w:b/>
          <w:bCs/>
          <w:sz w:val="20"/>
          <w:szCs w:val="20"/>
        </w:rPr>
        <w:t xml:space="preserve"> </w:t>
      </w:r>
    </w:p>
    <w:p w14:paraId="74F9B7B7" w14:textId="255470EB" w:rsidR="006D23EB" w:rsidRDefault="006D23E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13AD7"/>
    <w:multiLevelType w:val="hybridMultilevel"/>
    <w:tmpl w:val="15BAFDCC"/>
    <w:lvl w:ilvl="0" w:tplc="0C962B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0690F"/>
    <w:multiLevelType w:val="hybridMultilevel"/>
    <w:tmpl w:val="602C12B0"/>
    <w:lvl w:ilvl="0" w:tplc="3FCA7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62798">
    <w:abstractNumId w:val="1"/>
  </w:num>
  <w:num w:numId="2" w16cid:durableId="108776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39"/>
    <w:rsid w:val="00071839"/>
    <w:rsid w:val="000B2790"/>
    <w:rsid w:val="000B2950"/>
    <w:rsid w:val="0027746E"/>
    <w:rsid w:val="00375546"/>
    <w:rsid w:val="003C01E1"/>
    <w:rsid w:val="003D1B11"/>
    <w:rsid w:val="003E352F"/>
    <w:rsid w:val="00455D2E"/>
    <w:rsid w:val="0051417B"/>
    <w:rsid w:val="00587E10"/>
    <w:rsid w:val="005A7EEF"/>
    <w:rsid w:val="005F6B57"/>
    <w:rsid w:val="00623862"/>
    <w:rsid w:val="006A5D5A"/>
    <w:rsid w:val="006D23EB"/>
    <w:rsid w:val="006F7749"/>
    <w:rsid w:val="00747B48"/>
    <w:rsid w:val="007958CC"/>
    <w:rsid w:val="008474F5"/>
    <w:rsid w:val="0088178F"/>
    <w:rsid w:val="00951583"/>
    <w:rsid w:val="009B36C9"/>
    <w:rsid w:val="00A50550"/>
    <w:rsid w:val="00AD73F0"/>
    <w:rsid w:val="00AF1F44"/>
    <w:rsid w:val="00C63663"/>
    <w:rsid w:val="00C723E7"/>
    <w:rsid w:val="00C84C5F"/>
    <w:rsid w:val="00C91197"/>
    <w:rsid w:val="00CD49EE"/>
    <w:rsid w:val="00CE4F72"/>
    <w:rsid w:val="00D65406"/>
    <w:rsid w:val="00E25016"/>
    <w:rsid w:val="00F71313"/>
    <w:rsid w:val="00F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805083"/>
  <w15:chartTrackingRefBased/>
  <w15:docId w15:val="{D66A3768-AF4F-41AF-82F7-4DB4C111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87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E10"/>
  </w:style>
  <w:style w:type="paragraph" w:styleId="Pidipagina">
    <w:name w:val="footer"/>
    <w:basedOn w:val="Normale"/>
    <w:link w:val="PidipaginaCarattere"/>
    <w:uiPriority w:val="99"/>
    <w:unhideWhenUsed/>
    <w:rsid w:val="00587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E10"/>
  </w:style>
  <w:style w:type="paragraph" w:styleId="Paragrafoelenco">
    <w:name w:val="List Paragraph"/>
    <w:basedOn w:val="Normale"/>
    <w:uiPriority w:val="34"/>
    <w:qFormat/>
    <w:rsid w:val="00C84C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4C5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4C5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23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3E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D23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risco@amt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52C4-F142-4012-B23A-3B949FB7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Gobbi</dc:creator>
  <cp:keywords/>
  <dc:description/>
  <cp:lastModifiedBy>Associazione Magistrati Tributari</cp:lastModifiedBy>
  <cp:revision>18</cp:revision>
  <dcterms:created xsi:type="dcterms:W3CDTF">2022-09-02T12:06:00Z</dcterms:created>
  <dcterms:modified xsi:type="dcterms:W3CDTF">2022-09-07T12:19:00Z</dcterms:modified>
</cp:coreProperties>
</file>